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Образец уведомления родителей — Раздел I, часть A </w:t>
      </w:r>
    </w:p>
    <w:p w:rsidR="00000000" w:rsidDel="00000000" w:rsidP="00000000" w:rsidRDefault="00000000" w:rsidRPr="00000000" w14:paraId="00000002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Право на получение информации о квалификации учителя и помощника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Mt. Baker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September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В соответствии с требованиями Закона об успешности каждого учащегося (Every Student Succeeds Act, ESSA),</w:t>
      </w:r>
      <w:r w:rsidDel="00000000" w:rsidR="00000000" w:rsidRPr="00000000">
        <w:rPr>
          <w:b w:val="1"/>
          <w:sz w:val="24"/>
          <w:szCs w:val="24"/>
          <w:rtl w:val="0"/>
        </w:rPr>
        <w:t xml:space="preserve">Mt. Baker Middle School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сообщает Вам, что Вы можете запросить информацию о профессиональной квалификации учителя (-ей) и помощника (-ов) учителя (-ей), обучающих Вашего ребенка.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Об учителе можно запросить следующие сведения.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Соответствует ли учитель требованиям по сертификации учителей штата Вашингтон, применяемым к преподавателям соответствующих дисциплин учащимся соответствующих классов.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Преподает ли учитель в условиях крайней необходимости или ином временном статусе, на который не распространяются требования штата Вашингтон в отношении сертификации или квалификации.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Название специальности, по которой учитель обучался в колледже, любые свидетельства об окончании высших учебных заведений, а также ученые степени, полученные учителем.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Задействованы ли в предоставлении услуг учащемуся помощники учителя, и если да, то какова их квалификация.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 помощнике учителя можно запросить следующие сведения.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Помощники должны работать под руководством дипломированного учителя. В школах, работающих по общешкольной программе, все помощники учителей должны обладать соответствующей профессиональной квалификацией. В рамках программы целевой помощи любой помощник, действующий под непосредственным руководством дипломированного учителя, должен обладать соответствующей профессиональной квалификацией. Помощники учителей могут предоставить копию своего аттестата о полном общем среднем образовании (предоставление копии вкладыша не обязательно).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Помимо аттестата о полном общем среднем образовании или аттестата об общеобразовательной подготовке (GED), у помощников учителей школ, которые работают по программе, регламентируемой Разделом I, частью A, должен быть следующий уровень подготовки: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пройдено по меньше мере два года обучения в высшем учебном заведении; или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получена степень младшего специалиста или выше; или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пройдена аттестация ETS ParaPro Assessment (данная аттестация оценивает навыки и знание материалов, относящихся к чтению, письму и математике);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предварительно пройдена соответствующая практика, что подтверждено сертификатом или карточкой практиканта (программы создания портфолио и прохождения практики более не предлагаются, однако Управление инспектора государственных школ (Office of Superintendent of Public Instruction, OSPI) учитывает документы о прохождении этих программ).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Если Вы хотите запросить информацию, касающуюся квалификации учителя и помощника учителя Вашего ребенка, обратитесь к </w:t>
      </w:r>
      <w:r w:rsidDel="00000000" w:rsidR="00000000" w:rsidRPr="00000000">
        <w:rPr>
          <w:sz w:val="22"/>
          <w:szCs w:val="22"/>
          <w:rtl w:val="0"/>
        </w:rPr>
        <w:t xml:space="preserve">Principal Greg Brown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используя следующие контактные данные: </w:t>
      </w:r>
      <w:hyperlink r:id="rId6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gbrown@auburn.wednet.edu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С уважением,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Greg Brown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814388" cy="42416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42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i w:val="1"/>
          <w:sz w:val="21"/>
          <w:szCs w:val="21"/>
          <w:highlight w:val="yellow"/>
        </w:rPr>
      </w:pPr>
      <w:r w:rsidDel="00000000" w:rsidR="00000000" w:rsidRPr="00000000">
        <w:rPr>
          <w:sz w:val="22"/>
          <w:szCs w:val="22"/>
          <w:rtl w:val="0"/>
        </w:rPr>
        <w:t xml:space="preserve">Principal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brown@auburn.wendnet.edu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