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eebf6" w:val="clear"/>
        <w:spacing w:after="0" w:line="23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Зразок повідомлення батькам - Розділ 1, частина А</w:t>
      </w:r>
    </w:p>
    <w:p w:rsidR="00000000" w:rsidDel="00000000" w:rsidP="00000000" w:rsidRDefault="00000000" w:rsidRPr="00000000" w14:paraId="00000002">
      <w:pPr>
        <w:shd w:fill="deebf6" w:val="clear"/>
        <w:spacing w:after="0" w:line="23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Право на запит щодо кваліфікації викладачів та вчителів-стажерів</w:t>
      </w:r>
    </w:p>
    <w:p w:rsidR="00000000" w:rsidDel="00000000" w:rsidP="00000000" w:rsidRDefault="00000000" w:rsidRPr="00000000" w14:paraId="00000003">
      <w:pPr>
        <w:spacing w:after="0" w:line="23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3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30" w:lineRule="auto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30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30" w:lineRule="auto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Шановні батьки!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30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30" w:lineRule="auto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Відповідно до вимог Закону про успішність кожного учня (Every Student Succeeds Act, ESSA)</w:t>
      </w:r>
      <w:r w:rsidDel="00000000" w:rsidR="00000000" w:rsidRPr="00000000">
        <w:rPr>
          <w:b w:val="1"/>
          <w:sz w:val="24"/>
          <w:szCs w:val="24"/>
          <w:rtl w:val="0"/>
        </w:rPr>
        <w:t xml:space="preserve">Mt. Baker Middle School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інформуємо вас, що ви можете зробити запит щодо інформації про професійну кваліфікацію вчителя (-ів) або вчителя-стажера (-ів) вашого учня.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Щодо вчителя (-ів) можливо зробити запит про таку інформацію: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3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Чи відповідає викладач вимогам сертифікації вчителів у штаті Вашингтон необхідному рівню і предметним областям, за якими він (вона) веде свою діяльність.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3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Чи навчає учитель в умовах надзвичайного або іншого тимчасового статусу, за якого відхиляються кваліфікаційні вимоги або критерії сертифікації у штаті Вашингтон.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3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Спеціальність вчителя та наявність будь-яких ступенів або сертифікатів.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3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Чи отримує учень послуги вчителів-стажерів, і, якщо так, яка їх кваліфікація.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Щодо вчителів-стажерів можливо зробити запит про таку інформацію: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Вчителі-стажери повинні працювати під наглядом сертифікованого вчителя. У школах, які працюють за загальношкільною програмою, всі вчителі-стажери повинні відповідати професійним кваліфікаціям. Будь-який вчитель-стажер у Програмі адресної допомоги, яким безпосередньо керує сертифікований вчитель, повинен відповідати професійним вимогам.</w:t>
        <w:br w:type="textWrapping"/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Вчителі-стажери можуть надавати копію атестату про середню освіту; додаток про успішність не потрібен. Вчителі-стажери в школах, які виконують програму Розділу I, частини A, повинні мати атестат про середню освіту або сертифікат про загальноосвітню підготовку (GED) та виконати наступне: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Завершити щонайменше два роки навчання у вищому навчальному закладі; або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Закінчити два роки або більше у коледжі; або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Скласти іспит вчителя-стажера у Службі освітнього тестування (ETS) Оцінювання визначає навички та знання, пов'язані з читанням, письмом та математикою;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Завершене стажування повинно бути засвідчене відповідним документом або сертифікатом. Наявність портфоліо або стажування більше не пропонується для зарахування; однак, Департамент освіти (Office of Superintendent of Public Instruction, OSPI) буде продовжувати шанувати цей шлях.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Якщо ви хочете отримати інформацію про кваліфікацію вчителів та вчителів-стажерів вашої дитини, будь ласка, звертайтесь до </w:t>
      </w:r>
      <w:r w:rsidDel="00000000" w:rsidR="00000000" w:rsidRPr="00000000">
        <w:rPr>
          <w:sz w:val="22"/>
          <w:szCs w:val="22"/>
          <w:rtl w:val="0"/>
        </w:rPr>
        <w:t xml:space="preserve">Principal Greg Brown </w:t>
      </w:r>
      <w:r w:rsidDel="00000000" w:rsidR="00000000" w:rsidRPr="00000000">
        <w:rPr>
          <w:sz w:val="21"/>
          <w:szCs w:val="21"/>
          <w:rtl w:val="0"/>
        </w:rPr>
        <w:t xml:space="preserve">за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gbrown@auburn.wednet.edu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3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3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 повагою,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Greg Brown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118326</wp:posOffset>
            </wp:positionV>
            <wp:extent cx="814388" cy="42416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42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i w:val="1"/>
          <w:sz w:val="21"/>
          <w:szCs w:val="21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Principal</w:t>
      </w:r>
      <w:r w:rsidDel="00000000" w:rsidR="00000000" w:rsidRPr="00000000">
        <w:rPr>
          <w:rtl w:val="0"/>
        </w:rPr>
      </w:r>
    </w:p>
    <w:sectPr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brown@auburn.wendnet.ed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